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624311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ЕНЕРГИЙНАТА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ЕФЕКТИВНОСТ</w:t>
      </w:r>
    </w:p>
    <w:p w:rsidR="00000000" w:rsidRDefault="00624311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15.05.2015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624311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502-01-7/28.01.2015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ускорена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1 - 6.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ускорена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енергоспестяващи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енергоспестяващи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децентрализирано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1 - 4.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перспективите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пътникокилометрите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(pkm),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тонкилометрите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(tkm),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(pkm + tkm),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допринася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ядрен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натрупване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2010, 2011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"B_101900"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GWh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GWh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2018, 2019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фискални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допринася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незадоволителен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тенденции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господ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нвестициите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енергоспестяващия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художествените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общежития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излишъкът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поетапно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поетапно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2009/125/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екодизайн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"B"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американски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63/7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1222/2009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342/46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1222/2009".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сцепление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търкаляне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1222/2009.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препродад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чивостта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чувствително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сгради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децентрализирани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термопомпи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лиматизиран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молитвените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вероизповедания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целогодишно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kWh/m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молитвените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вероизповедания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целогодишно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художествените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фикатът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kWh/m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обучаващи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номенклатурата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номенклатурата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енергоспестяващи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енергоспестяващи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1 - 3;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3 - 5;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климатични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сгради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kW.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риодична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kW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kW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kW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kW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kW;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kW.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циркулаци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kW;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оразмеряването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kW.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оразмеряване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осветление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Wh;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бакалавър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енергоспестяващи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енергоспестяващи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1 - 3.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енергия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удовлетворяване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внимание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неприкосновеността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неприкосновеността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електропреносната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електроразпределителна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Разполагаем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информацията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разполагаемост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1 - 6;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разполагаемост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неприкосновеността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чувствителната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схеми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гарантиран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резюме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спестявания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донорите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равнопоставеност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партньорство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донорите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донорите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донорите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донори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донорите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донорите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съребрена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сватовство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1 - 5.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донорите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1 - 6;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бизнес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донорите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0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kW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kW,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kW,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114.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Донор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1099/2008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304/1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микроклимата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лзвана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вентилация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температурата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вентилацията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флуид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рудодобива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микроклимата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апартамент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остойностяване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kW,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жизнен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жизнен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жизнен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жизнен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компоненти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жизнен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температура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вентилация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методологията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методологията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Термопомпа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обкръжаваща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температура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термопомпи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обръщаемо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обкръжаваща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микроклимата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температурната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енергоспестяване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енергоспестяване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651/2014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187/1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фискален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вентилация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2012/27/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2009/125/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2010/30/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2006/32/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315/1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2010/31/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153/13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19,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24,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водогрейни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59,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41, 42,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20, 23,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всеобхватна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всеобхватната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всеобхватната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напредък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децентрализирано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10,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децентрализацията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децентрализирано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ненатоварени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децентрализирано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децентрализирани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балансиращия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диспечерско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акумулиране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динамично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ценообразуване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ценообразуване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"3.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справедливи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адекватно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кумулативни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интерфейса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MW,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6, 7, 8,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7, 8, 9,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електропреносната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диспечерско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диспечерско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106: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топлопреносната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топлопровод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разходноефективно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изберат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отопляемия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155: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изравнителна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Топлопреносното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7";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електропреносната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диспечиране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всеобхватната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MW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преоборудван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електроенергия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генерираща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температурно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4."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1,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"25.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съпоставима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агрегат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33,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54, 97,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43,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12,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корпоративното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31, 35, 51,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16, 23, 68, 91,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19,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24,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71, 83,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45,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18, 36,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87, 94, 100,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19,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28, 31,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30,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76, 77, 88, 94, 95,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30, 34, 37, 65, 76, 79, 80, 82,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43, 54, 69,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17, 19, 80,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41, 50,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35,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32, 38, 45, 47, 53, 77,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24, 27, 28,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53,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спестявания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ЕНЕРГЕТИКАТА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11, 14, 15, 16, 19, 22, 23, 24, 25, 32, 33, 35, 36, 39, 40, 41, 42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5, 6, 9, 10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624311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Директиви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2018/2002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2012/27/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2018/844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2010/31/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2012/27/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2009/125/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2010/30/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2006/32/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2010/31/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Регламенти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62431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651/2014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</w:p>
    <w:p w:rsidR="00000000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1222/2009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</w:p>
    <w:p w:rsidR="00624311" w:rsidRDefault="0062431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1099/2008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</w:p>
    <w:sectPr w:rsidR="00624311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92"/>
    <w:rsid w:val="00624311"/>
    <w:rsid w:val="00E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C5D273-777A-4B69-B619-A734A0A0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a.government.bg/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ea.government.bg/b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ea.government.bg/b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eea.government.bg/bg/" TargetMode="External"/><Relationship Id="rId10" Type="http://schemas.openxmlformats.org/officeDocument/2006/relationships/hyperlink" Target="http://www.bgeef.com/displaybg.aspx" TargetMode="External"/><Relationship Id="rId4" Type="http://schemas.openxmlformats.org/officeDocument/2006/relationships/hyperlink" Target="http://www.seea.government.bg/bg/" TargetMode="External"/><Relationship Id="rId9" Type="http://schemas.openxmlformats.org/officeDocument/2006/relationships/hyperlink" Target="https://www.mi.government.bg/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23693</Words>
  <Characters>135055</Characters>
  <Application>Microsoft Office Word</Application>
  <DocSecurity>0</DocSecurity>
  <Lines>1125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LYUBOMIROVA TOMOVA</dc:creator>
  <cp:keywords/>
  <dc:description/>
  <cp:lastModifiedBy>MARGARITA LYUBOMIROVA TOMOVA</cp:lastModifiedBy>
  <cp:revision>2</cp:revision>
  <dcterms:created xsi:type="dcterms:W3CDTF">2021-02-11T07:03:00Z</dcterms:created>
  <dcterms:modified xsi:type="dcterms:W3CDTF">2021-02-11T07:03:00Z</dcterms:modified>
</cp:coreProperties>
</file>